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941AD" w14:textId="77777777" w:rsidR="00A64157" w:rsidRPr="00F22532" w:rsidRDefault="00A64157" w:rsidP="007F49C9">
      <w:pPr>
        <w:pStyle w:val="Titre1"/>
        <w:jc w:val="center"/>
        <w:rPr>
          <w:rFonts w:ascii="Arial" w:hAnsi="Arial" w:cs="Arial"/>
          <w:color w:val="001740"/>
        </w:rPr>
      </w:pPr>
      <w:r>
        <w:tab/>
      </w:r>
      <w:r>
        <w:tab/>
      </w:r>
      <w:r>
        <w:tab/>
      </w:r>
      <w:r>
        <w:tab/>
      </w:r>
      <w:r>
        <w:tab/>
      </w:r>
      <w:r w:rsidR="006806D6">
        <w:tab/>
      </w:r>
      <w:r w:rsidR="00C00491" w:rsidRPr="00F22532">
        <w:rPr>
          <w:rFonts w:ascii="Arial" w:hAnsi="Arial" w:cs="Arial"/>
          <w:color w:val="001740"/>
        </w:rPr>
        <w:tab/>
      </w:r>
    </w:p>
    <w:p w14:paraId="2C398003" w14:textId="77777777" w:rsidR="005E2D20" w:rsidRDefault="005E2D20">
      <w:pPr>
        <w:rPr>
          <w:rFonts w:ascii="Arial" w:hAnsi="Arial" w:cs="Arial"/>
          <w:color w:val="001740"/>
        </w:rPr>
      </w:pPr>
    </w:p>
    <w:p w14:paraId="1BFD2DD7" w14:textId="03DEACAF" w:rsidR="003F1175" w:rsidRPr="00852025" w:rsidRDefault="003F1175" w:rsidP="003F1175">
      <w:pPr>
        <w:jc w:val="both"/>
        <w:rPr>
          <w:rFonts w:ascii="Arial" w:hAnsi="Arial" w:cs="Arial"/>
          <w:bCs/>
        </w:rPr>
      </w:pPr>
      <w:r w:rsidRPr="00852025">
        <w:rPr>
          <w:rFonts w:ascii="Arial" w:hAnsi="Arial" w:cs="Arial"/>
          <w:bCs/>
        </w:rPr>
        <w:t>Le revêtement de sol sélectionné est un sol sportif à déformation surfacique</w:t>
      </w:r>
      <w:r w:rsidRPr="00852025">
        <w:rPr>
          <w:rFonts w:ascii="Arial" w:hAnsi="Arial" w:cs="Arial"/>
          <w:b/>
        </w:rPr>
        <w:t xml:space="preserve"> SUBFLEX </w:t>
      </w:r>
      <w:r>
        <w:rPr>
          <w:rFonts w:ascii="Arial" w:hAnsi="Arial" w:cs="Arial"/>
          <w:b/>
        </w:rPr>
        <w:t>LINODUR</w:t>
      </w:r>
      <w:r w:rsidRPr="00852025">
        <w:rPr>
          <w:rFonts w:ascii="Arial" w:hAnsi="Arial" w:cs="Arial"/>
          <w:b/>
        </w:rPr>
        <w:t xml:space="preserve"> </w:t>
      </w:r>
      <w:r w:rsidRPr="00852025">
        <w:rPr>
          <w:rFonts w:ascii="Arial" w:hAnsi="Arial" w:cs="Arial"/>
          <w:bCs/>
        </w:rPr>
        <w:t>constitué d’un revêtement de sol</w:t>
      </w:r>
      <w:r>
        <w:rPr>
          <w:rFonts w:ascii="Arial" w:hAnsi="Arial" w:cs="Arial"/>
          <w:bCs/>
        </w:rPr>
        <w:t xml:space="preserve"> compact </w:t>
      </w:r>
      <w:proofErr w:type="spellStart"/>
      <w:r>
        <w:rPr>
          <w:rFonts w:ascii="Arial" w:hAnsi="Arial" w:cs="Arial"/>
          <w:bCs/>
        </w:rPr>
        <w:t>Linodur</w:t>
      </w:r>
      <w:proofErr w:type="spellEnd"/>
      <w:r>
        <w:rPr>
          <w:rFonts w:ascii="Arial" w:hAnsi="Arial" w:cs="Arial"/>
          <w:bCs/>
        </w:rPr>
        <w:t xml:space="preserve"> en linoleum calandré de </w:t>
      </w:r>
      <w:r w:rsidRPr="00223D1F">
        <w:rPr>
          <w:rFonts w:ascii="Arial" w:hAnsi="Arial" w:cs="Arial"/>
          <w:b/>
        </w:rPr>
        <w:t>4.0mm</w:t>
      </w:r>
      <w:r w:rsidRPr="00852025">
        <w:rPr>
          <w:rFonts w:ascii="Arial" w:hAnsi="Arial" w:cs="Arial"/>
          <w:bCs/>
        </w:rPr>
        <w:t xml:space="preserve"> d’épaisseur</w:t>
      </w:r>
      <w:r w:rsidRPr="00852025">
        <w:rPr>
          <w:rFonts w:ascii="Arial" w:hAnsi="Arial" w:cs="Arial"/>
          <w:b/>
        </w:rPr>
        <w:t xml:space="preserve"> </w:t>
      </w:r>
      <w:r w:rsidRPr="00852025">
        <w:rPr>
          <w:rFonts w:ascii="Arial" w:hAnsi="Arial" w:cs="Arial"/>
          <w:bCs/>
        </w:rPr>
        <w:t xml:space="preserve">avec un envers </w:t>
      </w:r>
      <w:r>
        <w:rPr>
          <w:rFonts w:ascii="Arial" w:hAnsi="Arial" w:cs="Arial"/>
          <w:bCs/>
        </w:rPr>
        <w:t xml:space="preserve">tissé </w:t>
      </w:r>
      <w:r w:rsidRPr="00852025">
        <w:rPr>
          <w:rFonts w:ascii="Arial" w:hAnsi="Arial" w:cs="Arial"/>
          <w:bCs/>
        </w:rPr>
        <w:t>recyclé et d’une sous-construction</w:t>
      </w:r>
      <w:r w:rsidRPr="00852025">
        <w:rPr>
          <w:rFonts w:ascii="Arial" w:hAnsi="Arial" w:cs="Arial"/>
          <w:b/>
        </w:rPr>
        <w:t xml:space="preserve">. </w:t>
      </w:r>
      <w:r w:rsidRPr="00852025">
        <w:rPr>
          <w:rFonts w:ascii="Arial" w:hAnsi="Arial" w:cs="Arial"/>
          <w:bCs/>
        </w:rPr>
        <w:t xml:space="preserve">La sous-construction est constituée d’un double panneau HDF avec une double structure décalée </w:t>
      </w:r>
      <w:r>
        <w:rPr>
          <w:rFonts w:ascii="Arial" w:hAnsi="Arial" w:cs="Arial"/>
          <w:bCs/>
        </w:rPr>
        <w:t xml:space="preserve">réalisée en usine </w:t>
      </w:r>
      <w:r w:rsidRPr="00852025">
        <w:rPr>
          <w:rFonts w:ascii="Arial" w:hAnsi="Arial" w:cs="Arial"/>
          <w:bCs/>
        </w:rPr>
        <w:t xml:space="preserve">d’une épaisseur totale de </w:t>
      </w:r>
      <w:r w:rsidRPr="00223D1F">
        <w:rPr>
          <w:rFonts w:ascii="Arial" w:hAnsi="Arial" w:cs="Arial"/>
          <w:b/>
        </w:rPr>
        <w:t>18,8mm</w:t>
      </w:r>
      <w:r w:rsidRPr="00852025">
        <w:rPr>
          <w:rFonts w:ascii="Arial" w:hAnsi="Arial" w:cs="Arial"/>
          <w:bCs/>
        </w:rPr>
        <w:t xml:space="preserve"> et d’une mousse haute densité </w:t>
      </w:r>
      <w:r w:rsidRPr="00223D1F">
        <w:rPr>
          <w:rFonts w:ascii="Arial" w:hAnsi="Arial" w:cs="Arial"/>
          <w:b/>
        </w:rPr>
        <w:t>15mm</w:t>
      </w:r>
      <w:r w:rsidRPr="00852025">
        <w:rPr>
          <w:rFonts w:ascii="Arial" w:hAnsi="Arial" w:cs="Arial"/>
          <w:bCs/>
        </w:rPr>
        <w:t xml:space="preserve"> d’épaisseur. Le revêtement existe sous forme de rouleaux de largeur 1,5m et de longueur variable jusqu’à </w:t>
      </w:r>
      <w:r w:rsidRPr="00223D1F">
        <w:rPr>
          <w:rFonts w:ascii="Arial" w:hAnsi="Arial" w:cs="Arial"/>
          <w:b/>
        </w:rPr>
        <w:t>26,5m</w:t>
      </w:r>
      <w:r w:rsidRPr="00852025">
        <w:rPr>
          <w:rFonts w:ascii="Arial" w:hAnsi="Arial" w:cs="Arial"/>
          <w:bCs/>
        </w:rPr>
        <w:t xml:space="preserve"> linéaires. Les panneaux HDF ont une longueur de 1,235m et une largeur de 0,460m et la mousse est sous forme de plaque de 2x1,6m.</w:t>
      </w:r>
      <w:r w:rsidR="009A09F9">
        <w:rPr>
          <w:rFonts w:ascii="Arial" w:hAnsi="Arial" w:cs="Arial"/>
          <w:bCs/>
        </w:rPr>
        <w:t xml:space="preserve"> L’épaisseur totale du système est de </w:t>
      </w:r>
      <w:r w:rsidR="009A09F9" w:rsidRPr="00223D1F">
        <w:rPr>
          <w:rFonts w:ascii="Arial" w:hAnsi="Arial" w:cs="Arial"/>
          <w:b/>
        </w:rPr>
        <w:t>37,8mm</w:t>
      </w:r>
      <w:r w:rsidR="009A09F9">
        <w:rPr>
          <w:rFonts w:ascii="Arial" w:hAnsi="Arial" w:cs="Arial"/>
          <w:bCs/>
        </w:rPr>
        <w:t>.</w:t>
      </w:r>
    </w:p>
    <w:p w14:paraId="5AD464A6" w14:textId="77777777" w:rsidR="003F1175" w:rsidRPr="00852025" w:rsidRDefault="003F1175" w:rsidP="003F1175">
      <w:pPr>
        <w:pStyle w:val="Corpsdetexte"/>
        <w:ind w:right="110"/>
        <w:jc w:val="both"/>
        <w:rPr>
          <w:rFonts w:ascii="Arial" w:hAnsi="Arial" w:cs="Arial"/>
          <w:bCs/>
        </w:rPr>
      </w:pPr>
    </w:p>
    <w:p w14:paraId="21262274" w14:textId="150F6184" w:rsidR="003F1175" w:rsidRPr="00852025" w:rsidRDefault="003F1175" w:rsidP="003F1175">
      <w:pPr>
        <w:pStyle w:val="Corpsdetexte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Le </w:t>
      </w:r>
      <w:proofErr w:type="spellStart"/>
      <w:r>
        <w:rPr>
          <w:rFonts w:ascii="Arial" w:hAnsi="Arial" w:cs="Arial"/>
          <w:bCs/>
        </w:rPr>
        <w:t>linodur</w:t>
      </w:r>
      <w:proofErr w:type="spellEnd"/>
      <w:r>
        <w:rPr>
          <w:rFonts w:ascii="Arial" w:hAnsi="Arial" w:cs="Arial"/>
          <w:bCs/>
        </w:rPr>
        <w:t xml:space="preserve"> est composé </w:t>
      </w:r>
      <w:r w:rsidRPr="00223D1F">
        <w:rPr>
          <w:rFonts w:ascii="Arial" w:hAnsi="Arial" w:cs="Arial"/>
          <w:b/>
        </w:rPr>
        <w:t>à 98% de matières premières naturelles</w:t>
      </w:r>
      <w:r>
        <w:rPr>
          <w:rFonts w:ascii="Arial" w:hAnsi="Arial" w:cs="Arial"/>
          <w:bCs/>
        </w:rPr>
        <w:t xml:space="preserve"> (</w:t>
      </w:r>
      <w:proofErr w:type="spellStart"/>
      <w:r>
        <w:rPr>
          <w:rFonts w:ascii="Arial" w:hAnsi="Arial" w:cs="Arial"/>
          <w:bCs/>
        </w:rPr>
        <w:t>bio-sourcées</w:t>
      </w:r>
      <w:proofErr w:type="spellEnd"/>
      <w:r>
        <w:rPr>
          <w:rFonts w:ascii="Arial" w:hAnsi="Arial" w:cs="Arial"/>
          <w:bCs/>
        </w:rPr>
        <w:t xml:space="preserve"> et minérales) : huile de lin, poudre de bois, résine, liège, toile de jute… dont </w:t>
      </w:r>
      <w:r w:rsidR="00223D1F" w:rsidRPr="00223D1F">
        <w:rPr>
          <w:rFonts w:ascii="Arial" w:hAnsi="Arial" w:cs="Arial"/>
          <w:b/>
        </w:rPr>
        <w:t>83</w:t>
      </w:r>
      <w:r w:rsidRPr="00223D1F">
        <w:rPr>
          <w:rFonts w:ascii="Arial" w:hAnsi="Arial" w:cs="Arial"/>
          <w:b/>
        </w:rPr>
        <w:t>% sont rapidement renouvelables.</w:t>
      </w:r>
      <w:r>
        <w:rPr>
          <w:rFonts w:ascii="Arial" w:hAnsi="Arial" w:cs="Arial"/>
          <w:bCs/>
        </w:rPr>
        <w:t xml:space="preserve"> Les décors sont teintés dans la masse pour une réelle durabilité dans le temps. Sa structure compacte associée aux panneaux de bois offre une excellente résistance au poinçonnement </w:t>
      </w:r>
      <w:r w:rsidRPr="00852025">
        <w:rPr>
          <w:rFonts w:ascii="Arial" w:hAnsi="Arial" w:cs="Arial"/>
        </w:rPr>
        <w:t>statique</w:t>
      </w:r>
      <w:r w:rsidRPr="00852025">
        <w:rPr>
          <w:rFonts w:ascii="Arial" w:hAnsi="Arial" w:cs="Arial"/>
          <w:spacing w:val="1"/>
        </w:rPr>
        <w:t xml:space="preserve"> </w:t>
      </w:r>
      <w:r w:rsidRPr="00852025">
        <w:rPr>
          <w:rFonts w:ascii="Arial" w:hAnsi="Arial" w:cs="Arial"/>
        </w:rPr>
        <w:t>(≤</w:t>
      </w:r>
      <w:r w:rsidRPr="00852025">
        <w:rPr>
          <w:rFonts w:ascii="Arial" w:hAnsi="Arial" w:cs="Arial"/>
          <w:spacing w:val="1"/>
        </w:rPr>
        <w:t xml:space="preserve"> </w:t>
      </w:r>
      <w:r w:rsidRPr="00852025">
        <w:rPr>
          <w:rFonts w:ascii="Arial" w:hAnsi="Arial" w:cs="Arial"/>
        </w:rPr>
        <w:t>0,5</w:t>
      </w:r>
      <w:r w:rsidRPr="00852025">
        <w:rPr>
          <w:rFonts w:ascii="Arial" w:hAnsi="Arial" w:cs="Arial"/>
          <w:spacing w:val="1"/>
        </w:rPr>
        <w:t xml:space="preserve"> </w:t>
      </w:r>
      <w:r w:rsidRPr="00852025">
        <w:rPr>
          <w:rFonts w:ascii="Arial" w:hAnsi="Arial" w:cs="Arial"/>
        </w:rPr>
        <w:t>mm</w:t>
      </w:r>
      <w:r w:rsidRPr="00852025">
        <w:rPr>
          <w:rFonts w:ascii="Arial" w:hAnsi="Arial" w:cs="Arial"/>
          <w:spacing w:val="1"/>
        </w:rPr>
        <w:t xml:space="preserve"> </w:t>
      </w:r>
      <w:r w:rsidRPr="00852025">
        <w:rPr>
          <w:rFonts w:ascii="Arial" w:hAnsi="Arial" w:cs="Arial"/>
        </w:rPr>
        <w:t>conformément</w:t>
      </w:r>
      <w:r w:rsidRPr="00852025">
        <w:rPr>
          <w:rFonts w:ascii="Arial" w:hAnsi="Arial" w:cs="Arial"/>
          <w:spacing w:val="1"/>
        </w:rPr>
        <w:t xml:space="preserve"> </w:t>
      </w:r>
      <w:r w:rsidRPr="00852025">
        <w:rPr>
          <w:rFonts w:ascii="Arial" w:hAnsi="Arial" w:cs="Arial"/>
        </w:rPr>
        <w:t>à</w:t>
      </w:r>
      <w:r w:rsidRPr="00852025">
        <w:rPr>
          <w:rFonts w:ascii="Arial" w:hAnsi="Arial" w:cs="Arial"/>
          <w:spacing w:val="1"/>
        </w:rPr>
        <w:t xml:space="preserve"> </w:t>
      </w:r>
      <w:r w:rsidRPr="00852025">
        <w:rPr>
          <w:rFonts w:ascii="Arial" w:hAnsi="Arial" w:cs="Arial"/>
        </w:rPr>
        <w:t>l’EN1516)</w:t>
      </w:r>
      <w:r w:rsidRPr="00852025">
        <w:rPr>
          <w:rFonts w:ascii="Arial" w:hAnsi="Arial" w:cs="Arial"/>
          <w:spacing w:val="1"/>
        </w:rPr>
        <w:t xml:space="preserve"> </w:t>
      </w:r>
      <w:r w:rsidRPr="00852025">
        <w:rPr>
          <w:rFonts w:ascii="Arial" w:hAnsi="Arial" w:cs="Arial"/>
        </w:rPr>
        <w:t>et</w:t>
      </w:r>
      <w:r w:rsidRPr="00852025">
        <w:rPr>
          <w:rFonts w:ascii="Arial" w:hAnsi="Arial" w:cs="Arial"/>
          <w:spacing w:val="1"/>
        </w:rPr>
        <w:t xml:space="preserve"> </w:t>
      </w:r>
      <w:r w:rsidRPr="00852025">
        <w:rPr>
          <w:rFonts w:ascii="Arial" w:hAnsi="Arial" w:cs="Arial"/>
        </w:rPr>
        <w:t>dynamique</w:t>
      </w:r>
      <w:r w:rsidRPr="00852025">
        <w:rPr>
          <w:rFonts w:ascii="Arial" w:hAnsi="Arial" w:cs="Arial"/>
          <w:spacing w:val="1"/>
        </w:rPr>
        <w:t xml:space="preserve"> </w:t>
      </w:r>
      <w:r w:rsidRPr="00852025">
        <w:rPr>
          <w:rFonts w:ascii="Arial" w:hAnsi="Arial" w:cs="Arial"/>
        </w:rPr>
        <w:t>(roulement</w:t>
      </w:r>
      <w:r w:rsidRPr="00852025">
        <w:rPr>
          <w:rFonts w:ascii="Arial" w:hAnsi="Arial" w:cs="Arial"/>
          <w:spacing w:val="-3"/>
        </w:rPr>
        <w:t xml:space="preserve"> </w:t>
      </w:r>
      <w:r w:rsidRPr="00852025">
        <w:rPr>
          <w:rFonts w:ascii="Arial" w:hAnsi="Arial" w:cs="Arial"/>
        </w:rPr>
        <w:t>des charges lourdes).</w:t>
      </w:r>
    </w:p>
    <w:p w14:paraId="4F047011" w14:textId="77777777" w:rsidR="003F1175" w:rsidRPr="00852025" w:rsidRDefault="003F1175" w:rsidP="003F1175">
      <w:pPr>
        <w:jc w:val="both"/>
        <w:rPr>
          <w:rFonts w:ascii="Arial" w:hAnsi="Arial" w:cs="Arial"/>
          <w:bCs/>
        </w:rPr>
      </w:pPr>
    </w:p>
    <w:p w14:paraId="784C114B" w14:textId="77777777" w:rsidR="003F1175" w:rsidRPr="00852025" w:rsidRDefault="003F1175" w:rsidP="003F1175">
      <w:pPr>
        <w:pStyle w:val="Corpsdetexte"/>
        <w:jc w:val="both"/>
        <w:rPr>
          <w:rFonts w:ascii="Arial" w:hAnsi="Arial" w:cs="Arial"/>
        </w:rPr>
      </w:pPr>
      <w:r w:rsidRPr="00852025">
        <w:rPr>
          <w:rFonts w:ascii="Arial" w:hAnsi="Arial" w:cs="Arial"/>
        </w:rPr>
        <w:t>Ses caractéristiques sportives lui permettent de répondre aux normes en vigueur</w:t>
      </w:r>
      <w:r w:rsidRPr="00852025">
        <w:rPr>
          <w:rFonts w:ascii="Arial" w:hAnsi="Arial" w:cs="Arial"/>
          <w:spacing w:val="1"/>
        </w:rPr>
        <w:t xml:space="preserve"> </w:t>
      </w:r>
      <w:r w:rsidRPr="00852025">
        <w:rPr>
          <w:rFonts w:ascii="Arial" w:hAnsi="Arial" w:cs="Arial"/>
        </w:rPr>
        <w:t>pendant toute sa durée de vie (garantie de 12 ans) : l’absorption de chocs, conforme</w:t>
      </w:r>
      <w:r w:rsidRPr="00852025">
        <w:rPr>
          <w:rFonts w:ascii="Arial" w:hAnsi="Arial" w:cs="Arial"/>
          <w:spacing w:val="1"/>
        </w:rPr>
        <w:t xml:space="preserve"> </w:t>
      </w:r>
      <w:r w:rsidRPr="00852025">
        <w:rPr>
          <w:rFonts w:ascii="Arial" w:hAnsi="Arial" w:cs="Arial"/>
          <w:spacing w:val="-1"/>
        </w:rPr>
        <w:t>à</w:t>
      </w:r>
      <w:r w:rsidRPr="00852025">
        <w:rPr>
          <w:rFonts w:ascii="Arial" w:hAnsi="Arial" w:cs="Arial"/>
          <w:spacing w:val="-14"/>
        </w:rPr>
        <w:t xml:space="preserve"> </w:t>
      </w:r>
      <w:r w:rsidRPr="00852025">
        <w:rPr>
          <w:rFonts w:ascii="Arial" w:hAnsi="Arial" w:cs="Arial"/>
          <w:spacing w:val="-1"/>
        </w:rPr>
        <w:t>la</w:t>
      </w:r>
      <w:r w:rsidRPr="00852025">
        <w:rPr>
          <w:rFonts w:ascii="Arial" w:hAnsi="Arial" w:cs="Arial"/>
          <w:spacing w:val="-14"/>
        </w:rPr>
        <w:t xml:space="preserve"> </w:t>
      </w:r>
      <w:r w:rsidRPr="00852025">
        <w:rPr>
          <w:rFonts w:ascii="Arial" w:hAnsi="Arial" w:cs="Arial"/>
          <w:spacing w:val="-1"/>
        </w:rPr>
        <w:t>norme</w:t>
      </w:r>
      <w:r w:rsidRPr="00852025">
        <w:rPr>
          <w:rFonts w:ascii="Arial" w:hAnsi="Arial" w:cs="Arial"/>
          <w:spacing w:val="-14"/>
        </w:rPr>
        <w:t xml:space="preserve"> </w:t>
      </w:r>
      <w:r w:rsidRPr="00223D1F">
        <w:rPr>
          <w:rFonts w:ascii="Arial" w:hAnsi="Arial" w:cs="Arial"/>
          <w:b/>
          <w:bCs/>
          <w:spacing w:val="-1"/>
        </w:rPr>
        <w:t>EN14808</w:t>
      </w:r>
      <w:r w:rsidRPr="00852025">
        <w:rPr>
          <w:rFonts w:ascii="Arial" w:hAnsi="Arial" w:cs="Arial"/>
          <w:spacing w:val="-15"/>
        </w:rPr>
        <w:t xml:space="preserve"> </w:t>
      </w:r>
      <w:r w:rsidRPr="00852025">
        <w:rPr>
          <w:rFonts w:ascii="Arial" w:hAnsi="Arial" w:cs="Arial"/>
          <w:spacing w:val="-1"/>
        </w:rPr>
        <w:t>est</w:t>
      </w:r>
      <w:r w:rsidRPr="00852025">
        <w:rPr>
          <w:rFonts w:ascii="Arial" w:hAnsi="Arial" w:cs="Arial"/>
          <w:spacing w:val="39"/>
        </w:rPr>
        <w:t xml:space="preserve"> </w:t>
      </w:r>
      <w:r w:rsidRPr="00852025">
        <w:rPr>
          <w:rFonts w:ascii="Arial" w:hAnsi="Arial" w:cs="Arial"/>
          <w:spacing w:val="-1"/>
        </w:rPr>
        <w:t>≥</w:t>
      </w:r>
      <w:r>
        <w:rPr>
          <w:rFonts w:ascii="Arial" w:hAnsi="Arial" w:cs="Arial"/>
          <w:spacing w:val="42"/>
        </w:rPr>
        <w:t xml:space="preserve"> 45</w:t>
      </w:r>
      <w:r w:rsidRPr="00852025">
        <w:rPr>
          <w:rFonts w:ascii="Arial" w:hAnsi="Arial" w:cs="Arial"/>
          <w:spacing w:val="-12"/>
        </w:rPr>
        <w:t xml:space="preserve"> </w:t>
      </w:r>
      <w:r w:rsidRPr="00852025">
        <w:rPr>
          <w:rFonts w:ascii="Arial" w:hAnsi="Arial" w:cs="Arial"/>
          <w:spacing w:val="-1"/>
        </w:rPr>
        <w:t>%</w:t>
      </w:r>
      <w:r w:rsidRPr="00852025">
        <w:rPr>
          <w:rFonts w:ascii="Arial" w:hAnsi="Arial" w:cs="Arial"/>
          <w:spacing w:val="-17"/>
        </w:rPr>
        <w:t xml:space="preserve"> </w:t>
      </w:r>
      <w:r w:rsidRPr="00852025">
        <w:rPr>
          <w:rFonts w:ascii="Arial" w:hAnsi="Arial" w:cs="Arial"/>
          <w:spacing w:val="-1"/>
        </w:rPr>
        <w:t>pour</w:t>
      </w:r>
      <w:r w:rsidRPr="00852025">
        <w:rPr>
          <w:rFonts w:ascii="Arial" w:hAnsi="Arial" w:cs="Arial"/>
          <w:spacing w:val="-15"/>
        </w:rPr>
        <w:t xml:space="preserve"> </w:t>
      </w:r>
      <w:r w:rsidRPr="00852025">
        <w:rPr>
          <w:rFonts w:ascii="Arial" w:hAnsi="Arial" w:cs="Arial"/>
          <w:spacing w:val="-1"/>
        </w:rPr>
        <w:t>un</w:t>
      </w:r>
      <w:r w:rsidRPr="00852025">
        <w:rPr>
          <w:rFonts w:ascii="Arial" w:hAnsi="Arial" w:cs="Arial"/>
          <w:spacing w:val="-13"/>
        </w:rPr>
        <w:t xml:space="preserve"> </w:t>
      </w:r>
      <w:r w:rsidRPr="00852025">
        <w:rPr>
          <w:rFonts w:ascii="Arial" w:hAnsi="Arial" w:cs="Arial"/>
          <w:spacing w:val="-1"/>
        </w:rPr>
        <w:t>classement</w:t>
      </w:r>
      <w:r w:rsidRPr="00852025">
        <w:rPr>
          <w:rFonts w:ascii="Arial" w:hAnsi="Arial" w:cs="Arial"/>
          <w:spacing w:val="-12"/>
        </w:rPr>
        <w:t xml:space="preserve"> </w:t>
      </w:r>
      <w:r w:rsidRPr="00852025">
        <w:rPr>
          <w:rFonts w:ascii="Arial" w:hAnsi="Arial" w:cs="Arial"/>
        </w:rPr>
        <w:t>A3,</w:t>
      </w:r>
      <w:r w:rsidRPr="00852025">
        <w:rPr>
          <w:rFonts w:ascii="Arial" w:hAnsi="Arial" w:cs="Arial"/>
          <w:spacing w:val="-14"/>
        </w:rPr>
        <w:t xml:space="preserve"> </w:t>
      </w:r>
      <w:r w:rsidRPr="00852025">
        <w:rPr>
          <w:rFonts w:ascii="Arial" w:hAnsi="Arial" w:cs="Arial"/>
        </w:rPr>
        <w:t>la</w:t>
      </w:r>
      <w:r w:rsidRPr="00852025">
        <w:rPr>
          <w:rFonts w:ascii="Arial" w:hAnsi="Arial" w:cs="Arial"/>
          <w:spacing w:val="-13"/>
        </w:rPr>
        <w:t xml:space="preserve"> </w:t>
      </w:r>
      <w:r w:rsidRPr="00852025">
        <w:rPr>
          <w:rFonts w:ascii="Arial" w:hAnsi="Arial" w:cs="Arial"/>
        </w:rPr>
        <w:t>résistance</w:t>
      </w:r>
      <w:r w:rsidRPr="00852025">
        <w:rPr>
          <w:rFonts w:ascii="Arial" w:hAnsi="Arial" w:cs="Arial"/>
          <w:spacing w:val="-14"/>
        </w:rPr>
        <w:t xml:space="preserve"> </w:t>
      </w:r>
      <w:r w:rsidRPr="00852025">
        <w:rPr>
          <w:rFonts w:ascii="Arial" w:hAnsi="Arial" w:cs="Arial"/>
        </w:rPr>
        <w:t>à</w:t>
      </w:r>
      <w:r w:rsidRPr="00852025">
        <w:rPr>
          <w:rFonts w:ascii="Arial" w:hAnsi="Arial" w:cs="Arial"/>
          <w:spacing w:val="-14"/>
        </w:rPr>
        <w:t xml:space="preserve"> </w:t>
      </w:r>
      <w:r w:rsidRPr="00852025">
        <w:rPr>
          <w:rFonts w:ascii="Arial" w:hAnsi="Arial" w:cs="Arial"/>
        </w:rPr>
        <w:t>la</w:t>
      </w:r>
      <w:r w:rsidRPr="00852025">
        <w:rPr>
          <w:rFonts w:ascii="Arial" w:hAnsi="Arial" w:cs="Arial"/>
          <w:spacing w:val="-13"/>
        </w:rPr>
        <w:t xml:space="preserve"> </w:t>
      </w:r>
      <w:r w:rsidRPr="00852025">
        <w:rPr>
          <w:rFonts w:ascii="Arial" w:hAnsi="Arial" w:cs="Arial"/>
        </w:rPr>
        <w:t>déformation</w:t>
      </w:r>
      <w:r w:rsidRPr="00852025">
        <w:rPr>
          <w:rFonts w:ascii="Arial" w:hAnsi="Arial" w:cs="Arial"/>
          <w:spacing w:val="-65"/>
        </w:rPr>
        <w:t xml:space="preserve"> </w:t>
      </w:r>
      <w:r w:rsidRPr="00852025">
        <w:rPr>
          <w:rFonts w:ascii="Arial" w:hAnsi="Arial" w:cs="Arial"/>
        </w:rPr>
        <w:t xml:space="preserve">verticale selon la norme </w:t>
      </w:r>
      <w:r w:rsidRPr="00223D1F">
        <w:rPr>
          <w:rFonts w:ascii="Arial" w:hAnsi="Arial" w:cs="Arial"/>
          <w:b/>
          <w:bCs/>
        </w:rPr>
        <w:t>EN 14809</w:t>
      </w:r>
      <w:r w:rsidRPr="00852025">
        <w:rPr>
          <w:rFonts w:ascii="Arial" w:hAnsi="Arial" w:cs="Arial"/>
        </w:rPr>
        <w:t xml:space="preserve"> ≤ 3,5 mm et la résistance à la glissance selon la</w:t>
      </w:r>
      <w:r w:rsidRPr="00852025">
        <w:rPr>
          <w:rFonts w:ascii="Arial" w:hAnsi="Arial" w:cs="Arial"/>
          <w:spacing w:val="1"/>
        </w:rPr>
        <w:t xml:space="preserve"> </w:t>
      </w:r>
      <w:r w:rsidRPr="00852025">
        <w:rPr>
          <w:rFonts w:ascii="Arial" w:hAnsi="Arial" w:cs="Arial"/>
        </w:rPr>
        <w:t xml:space="preserve">norme </w:t>
      </w:r>
      <w:r w:rsidRPr="00223D1F">
        <w:rPr>
          <w:rFonts w:ascii="Arial" w:hAnsi="Arial" w:cs="Arial"/>
          <w:b/>
          <w:bCs/>
        </w:rPr>
        <w:t>EN 13036-4</w:t>
      </w:r>
      <w:r w:rsidRPr="00852025">
        <w:rPr>
          <w:rFonts w:ascii="Arial" w:hAnsi="Arial" w:cs="Arial"/>
        </w:rPr>
        <w:t xml:space="preserve"> comprise entre 80 et 110. La résistance à l’abrasion (</w:t>
      </w:r>
      <w:r w:rsidRPr="00223D1F">
        <w:rPr>
          <w:rFonts w:ascii="Arial" w:hAnsi="Arial" w:cs="Arial"/>
          <w:b/>
          <w:bCs/>
        </w:rPr>
        <w:t>norme ISO 5470-1</w:t>
      </w:r>
      <w:r w:rsidRPr="00852025">
        <w:rPr>
          <w:rFonts w:ascii="Arial" w:hAnsi="Arial" w:cs="Arial"/>
        </w:rPr>
        <w:t>) sera</w:t>
      </w:r>
      <w:r w:rsidRPr="00852025">
        <w:rPr>
          <w:rFonts w:ascii="Arial" w:hAnsi="Arial" w:cs="Arial"/>
          <w:spacing w:val="1"/>
        </w:rPr>
        <w:t xml:space="preserve"> </w:t>
      </w:r>
      <w:r w:rsidRPr="00852025">
        <w:rPr>
          <w:rFonts w:ascii="Arial" w:hAnsi="Arial" w:cs="Arial"/>
        </w:rPr>
        <w:t>≤ 1000 mg. Pour finir, sa construction permet</w:t>
      </w:r>
      <w:r w:rsidRPr="00852025">
        <w:rPr>
          <w:rFonts w:ascii="Arial" w:hAnsi="Arial" w:cs="Arial"/>
          <w:spacing w:val="-2"/>
        </w:rPr>
        <w:t xml:space="preserve"> </w:t>
      </w:r>
      <w:r w:rsidRPr="00852025">
        <w:rPr>
          <w:rFonts w:ascii="Arial" w:hAnsi="Arial" w:cs="Arial"/>
        </w:rPr>
        <w:t>un</w:t>
      </w:r>
      <w:r w:rsidRPr="00852025">
        <w:rPr>
          <w:rFonts w:ascii="Arial" w:hAnsi="Arial" w:cs="Arial"/>
          <w:spacing w:val="-1"/>
        </w:rPr>
        <w:t xml:space="preserve"> </w:t>
      </w:r>
      <w:r w:rsidRPr="00852025">
        <w:rPr>
          <w:rFonts w:ascii="Arial" w:hAnsi="Arial" w:cs="Arial"/>
        </w:rPr>
        <w:t>rebond de balle ≥</w:t>
      </w:r>
      <w:r w:rsidRPr="00852025">
        <w:rPr>
          <w:rFonts w:ascii="Arial" w:hAnsi="Arial" w:cs="Arial"/>
          <w:spacing w:val="65"/>
        </w:rPr>
        <w:t xml:space="preserve"> </w:t>
      </w:r>
      <w:r w:rsidRPr="00852025">
        <w:rPr>
          <w:rFonts w:ascii="Arial" w:hAnsi="Arial" w:cs="Arial"/>
        </w:rPr>
        <w:t>90%.</w:t>
      </w:r>
    </w:p>
    <w:p w14:paraId="19405146" w14:textId="77777777" w:rsidR="003F1175" w:rsidRPr="00852025" w:rsidRDefault="003F1175" w:rsidP="003F1175">
      <w:pPr>
        <w:pStyle w:val="Corpsdetexte"/>
        <w:spacing w:before="1"/>
        <w:rPr>
          <w:rFonts w:ascii="Arial" w:hAnsi="Arial" w:cs="Arial"/>
        </w:rPr>
      </w:pPr>
    </w:p>
    <w:p w14:paraId="537ABAFA" w14:textId="77777777" w:rsidR="003F1175" w:rsidRPr="00852025" w:rsidRDefault="003F1175" w:rsidP="003F1175">
      <w:pPr>
        <w:pStyle w:val="Corpsdetexte"/>
        <w:jc w:val="both"/>
        <w:rPr>
          <w:rFonts w:ascii="Arial" w:hAnsi="Arial" w:cs="Arial"/>
        </w:rPr>
      </w:pPr>
      <w:r w:rsidRPr="00852025">
        <w:rPr>
          <w:rFonts w:ascii="Arial" w:hAnsi="Arial" w:cs="Arial"/>
        </w:rPr>
        <w:t>Selon</w:t>
      </w:r>
      <w:r w:rsidRPr="00852025">
        <w:rPr>
          <w:rFonts w:ascii="Arial" w:hAnsi="Arial" w:cs="Arial"/>
          <w:spacing w:val="44"/>
        </w:rPr>
        <w:t xml:space="preserve"> </w:t>
      </w:r>
      <w:r w:rsidRPr="00852025">
        <w:rPr>
          <w:rFonts w:ascii="Arial" w:hAnsi="Arial" w:cs="Arial"/>
        </w:rPr>
        <w:t>la</w:t>
      </w:r>
      <w:r w:rsidRPr="00852025">
        <w:rPr>
          <w:rFonts w:ascii="Arial" w:hAnsi="Arial" w:cs="Arial"/>
          <w:spacing w:val="42"/>
        </w:rPr>
        <w:t xml:space="preserve"> </w:t>
      </w:r>
      <w:r w:rsidRPr="00852025">
        <w:rPr>
          <w:rFonts w:ascii="Arial" w:hAnsi="Arial" w:cs="Arial"/>
        </w:rPr>
        <w:t>norme</w:t>
      </w:r>
      <w:r w:rsidRPr="00852025">
        <w:rPr>
          <w:rFonts w:ascii="Arial" w:hAnsi="Arial" w:cs="Arial"/>
          <w:spacing w:val="44"/>
        </w:rPr>
        <w:t xml:space="preserve"> </w:t>
      </w:r>
      <w:r w:rsidRPr="00223D1F">
        <w:rPr>
          <w:rFonts w:ascii="Arial" w:hAnsi="Arial" w:cs="Arial"/>
          <w:b/>
          <w:bCs/>
        </w:rPr>
        <w:t>ISO21702</w:t>
      </w:r>
      <w:r w:rsidRPr="0085202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le système SUBFLEX LINODUR</w:t>
      </w:r>
      <w:r w:rsidRPr="00852025">
        <w:rPr>
          <w:rFonts w:ascii="Arial" w:hAnsi="Arial" w:cs="Arial"/>
          <w:spacing w:val="45"/>
        </w:rPr>
        <w:t xml:space="preserve"> </w:t>
      </w:r>
      <w:r w:rsidRPr="00852025">
        <w:rPr>
          <w:rFonts w:ascii="Arial" w:hAnsi="Arial" w:cs="Arial"/>
        </w:rPr>
        <w:t>a</w:t>
      </w:r>
      <w:r w:rsidRPr="00852025">
        <w:rPr>
          <w:rFonts w:ascii="Arial" w:hAnsi="Arial" w:cs="Arial"/>
          <w:spacing w:val="44"/>
        </w:rPr>
        <w:t xml:space="preserve"> </w:t>
      </w:r>
      <w:r w:rsidRPr="00852025">
        <w:rPr>
          <w:rFonts w:ascii="Arial" w:hAnsi="Arial" w:cs="Arial"/>
        </w:rPr>
        <w:t xml:space="preserve">une activité antibactérienne contre E. coli, S. aureus et MRSA de </w:t>
      </w:r>
      <w:r w:rsidRPr="00223D1F">
        <w:rPr>
          <w:rFonts w:ascii="Arial" w:hAnsi="Arial" w:cs="Arial"/>
          <w:b/>
          <w:bCs/>
        </w:rPr>
        <w:t>99% après 24h00</w:t>
      </w:r>
      <w:r w:rsidRPr="00852025">
        <w:rPr>
          <w:rFonts w:ascii="Arial" w:hAnsi="Arial" w:cs="Arial"/>
        </w:rPr>
        <w:t>. Ce</w:t>
      </w:r>
      <w:r w:rsidRPr="00852025">
        <w:rPr>
          <w:rFonts w:ascii="Arial" w:hAnsi="Arial" w:cs="Arial"/>
          <w:spacing w:val="1"/>
        </w:rPr>
        <w:t xml:space="preserve"> </w:t>
      </w:r>
      <w:r w:rsidRPr="00852025">
        <w:rPr>
          <w:rFonts w:ascii="Arial" w:hAnsi="Arial" w:cs="Arial"/>
        </w:rPr>
        <w:t>produit</w:t>
      </w:r>
      <w:r w:rsidRPr="00852025">
        <w:rPr>
          <w:rFonts w:ascii="Arial" w:hAnsi="Arial" w:cs="Arial"/>
          <w:spacing w:val="-1"/>
        </w:rPr>
        <w:t xml:space="preserve"> </w:t>
      </w:r>
      <w:r w:rsidRPr="00852025">
        <w:rPr>
          <w:rFonts w:ascii="Arial" w:hAnsi="Arial" w:cs="Arial"/>
        </w:rPr>
        <w:t>correspond</w:t>
      </w:r>
      <w:r w:rsidRPr="00852025">
        <w:rPr>
          <w:rFonts w:ascii="Arial" w:hAnsi="Arial" w:cs="Arial"/>
          <w:spacing w:val="-2"/>
        </w:rPr>
        <w:t xml:space="preserve"> </w:t>
      </w:r>
      <w:r w:rsidRPr="00852025">
        <w:rPr>
          <w:rFonts w:ascii="Arial" w:hAnsi="Arial" w:cs="Arial"/>
        </w:rPr>
        <w:t>à un classement</w:t>
      </w:r>
      <w:r w:rsidRPr="00852025">
        <w:rPr>
          <w:rFonts w:ascii="Arial" w:hAnsi="Arial" w:cs="Arial"/>
          <w:spacing w:val="-1"/>
        </w:rPr>
        <w:t xml:space="preserve"> </w:t>
      </w:r>
      <w:r w:rsidRPr="00852025">
        <w:rPr>
          <w:rFonts w:ascii="Arial" w:hAnsi="Arial" w:cs="Arial"/>
        </w:rPr>
        <w:t>feu</w:t>
      </w:r>
      <w:r w:rsidRPr="00852025">
        <w:rPr>
          <w:rFonts w:ascii="Arial" w:hAnsi="Arial" w:cs="Arial"/>
          <w:spacing w:val="6"/>
        </w:rPr>
        <w:t xml:space="preserve"> </w:t>
      </w:r>
      <w:r w:rsidRPr="00223D1F">
        <w:rPr>
          <w:rFonts w:ascii="Arial" w:hAnsi="Arial" w:cs="Arial"/>
          <w:b/>
          <w:bCs/>
          <w:spacing w:val="6"/>
        </w:rPr>
        <w:t>C</w:t>
      </w:r>
      <w:r w:rsidRPr="00223D1F">
        <w:rPr>
          <w:rFonts w:ascii="Arial" w:hAnsi="Arial" w:cs="Arial"/>
          <w:b/>
          <w:bCs/>
        </w:rPr>
        <w:t>fl-s1.</w:t>
      </w:r>
    </w:p>
    <w:p w14:paraId="2663ECC7" w14:textId="77777777" w:rsidR="003F1175" w:rsidRPr="00852025" w:rsidRDefault="003F1175" w:rsidP="003F1175">
      <w:pPr>
        <w:pStyle w:val="Corpsdetexte"/>
        <w:spacing w:before="6"/>
        <w:rPr>
          <w:rFonts w:ascii="Arial" w:hAnsi="Arial" w:cs="Arial"/>
        </w:rPr>
      </w:pPr>
    </w:p>
    <w:p w14:paraId="627F4D9B" w14:textId="797CF587" w:rsidR="003F1175" w:rsidRPr="00852025" w:rsidRDefault="003F1175" w:rsidP="003F1175">
      <w:pPr>
        <w:pStyle w:val="Corpsdetexte"/>
        <w:spacing w:before="1"/>
        <w:jc w:val="both"/>
        <w:rPr>
          <w:rFonts w:ascii="Arial" w:hAnsi="Arial" w:cs="Arial"/>
        </w:rPr>
      </w:pPr>
      <w:r w:rsidRPr="00852025">
        <w:rPr>
          <w:rFonts w:ascii="Arial" w:hAnsi="Arial" w:cs="Arial"/>
        </w:rPr>
        <w:t xml:space="preserve">Les émissions dans l’air de </w:t>
      </w:r>
      <w:r w:rsidRPr="00223D1F">
        <w:rPr>
          <w:rFonts w:ascii="Arial" w:hAnsi="Arial" w:cs="Arial"/>
          <w:b/>
          <w:bCs/>
        </w:rPr>
        <w:t>TCOV à 28 jours (NF EN 16000) sont &lt; 10 µg/m</w:t>
      </w:r>
      <w:r w:rsidRPr="00223D1F">
        <w:rPr>
          <w:rFonts w:ascii="Arial" w:hAnsi="Arial" w:cs="Arial"/>
          <w:b/>
          <w:bCs/>
          <w:position w:val="8"/>
        </w:rPr>
        <w:t>3</w:t>
      </w:r>
      <w:r w:rsidRPr="00852025">
        <w:rPr>
          <w:rFonts w:ascii="Arial" w:hAnsi="Arial" w:cs="Arial"/>
          <w:position w:val="8"/>
        </w:rPr>
        <w:t xml:space="preserve"> </w:t>
      </w:r>
      <w:r w:rsidRPr="00852025">
        <w:rPr>
          <w:rFonts w:ascii="Arial" w:hAnsi="Arial" w:cs="Arial"/>
        </w:rPr>
        <w:t>et sont</w:t>
      </w:r>
      <w:r w:rsidRPr="00852025">
        <w:rPr>
          <w:rFonts w:ascii="Arial" w:hAnsi="Arial" w:cs="Arial"/>
          <w:spacing w:val="-64"/>
        </w:rPr>
        <w:t xml:space="preserve"> </w:t>
      </w:r>
      <w:r w:rsidRPr="00852025">
        <w:rPr>
          <w:rFonts w:ascii="Arial" w:hAnsi="Arial" w:cs="Arial"/>
        </w:rPr>
        <w:t xml:space="preserve">classées A+ (la meilleure classe) dans le cadre de l’étiquetage sanitaire. </w:t>
      </w:r>
    </w:p>
    <w:p w14:paraId="48D11FCE" w14:textId="77777777" w:rsidR="003F1175" w:rsidRPr="00852025" w:rsidRDefault="003F1175" w:rsidP="003F1175">
      <w:pPr>
        <w:pStyle w:val="Corpsdetexte"/>
        <w:rPr>
          <w:rFonts w:ascii="Arial" w:hAnsi="Arial" w:cs="Arial"/>
        </w:rPr>
      </w:pPr>
    </w:p>
    <w:p w14:paraId="19BDFC47" w14:textId="77777777" w:rsidR="003F1175" w:rsidRPr="003F1175" w:rsidRDefault="003F1175" w:rsidP="003F1175">
      <w:pPr>
        <w:pStyle w:val="Corpsdetexte"/>
        <w:jc w:val="both"/>
        <w:rPr>
          <w:rFonts w:ascii="Arial" w:hAnsi="Arial" w:cs="Arial"/>
        </w:rPr>
      </w:pPr>
      <w:r w:rsidRPr="003F1175">
        <w:rPr>
          <w:rFonts w:ascii="Arial" w:hAnsi="Arial" w:cs="Arial"/>
        </w:rPr>
        <w:t>Le</w:t>
      </w:r>
      <w:r w:rsidRPr="003F1175">
        <w:rPr>
          <w:rFonts w:ascii="Arial" w:hAnsi="Arial" w:cs="Arial"/>
          <w:spacing w:val="-5"/>
        </w:rPr>
        <w:t xml:space="preserve"> </w:t>
      </w:r>
      <w:r w:rsidRPr="003F1175">
        <w:rPr>
          <w:rFonts w:ascii="Arial" w:hAnsi="Arial" w:cs="Arial"/>
        </w:rPr>
        <w:t>fabricant</w:t>
      </w:r>
      <w:r w:rsidRPr="003F1175">
        <w:rPr>
          <w:rFonts w:ascii="Arial" w:hAnsi="Arial" w:cs="Arial"/>
          <w:spacing w:val="-6"/>
        </w:rPr>
        <w:t xml:space="preserve"> </w:t>
      </w:r>
      <w:r w:rsidRPr="003F1175">
        <w:rPr>
          <w:rFonts w:ascii="Arial" w:hAnsi="Arial" w:cs="Arial"/>
        </w:rPr>
        <w:t>doit</w:t>
      </w:r>
      <w:r w:rsidRPr="003F1175">
        <w:rPr>
          <w:rFonts w:ascii="Arial" w:hAnsi="Arial" w:cs="Arial"/>
          <w:spacing w:val="-7"/>
        </w:rPr>
        <w:t xml:space="preserve"> </w:t>
      </w:r>
      <w:r w:rsidRPr="003F1175">
        <w:rPr>
          <w:rFonts w:ascii="Arial" w:hAnsi="Arial" w:cs="Arial"/>
        </w:rPr>
        <w:t>être</w:t>
      </w:r>
      <w:r w:rsidRPr="003F1175">
        <w:rPr>
          <w:rFonts w:ascii="Arial" w:hAnsi="Arial" w:cs="Arial"/>
          <w:spacing w:val="-4"/>
        </w:rPr>
        <w:t xml:space="preserve"> </w:t>
      </w:r>
      <w:r w:rsidRPr="003F1175">
        <w:rPr>
          <w:rFonts w:ascii="Arial" w:hAnsi="Arial" w:cs="Arial"/>
        </w:rPr>
        <w:t>capable</w:t>
      </w:r>
      <w:r w:rsidRPr="003F1175">
        <w:rPr>
          <w:rFonts w:ascii="Arial" w:hAnsi="Arial" w:cs="Arial"/>
          <w:spacing w:val="-5"/>
        </w:rPr>
        <w:t xml:space="preserve"> </w:t>
      </w:r>
      <w:r w:rsidRPr="003F1175">
        <w:rPr>
          <w:rFonts w:ascii="Arial" w:hAnsi="Arial" w:cs="Arial"/>
        </w:rPr>
        <w:t>de</w:t>
      </w:r>
      <w:r w:rsidRPr="003F1175">
        <w:rPr>
          <w:rFonts w:ascii="Arial" w:hAnsi="Arial" w:cs="Arial"/>
          <w:spacing w:val="-4"/>
        </w:rPr>
        <w:t xml:space="preserve"> </w:t>
      </w:r>
      <w:r w:rsidRPr="003F1175">
        <w:rPr>
          <w:rFonts w:ascii="Arial" w:hAnsi="Arial" w:cs="Arial"/>
        </w:rPr>
        <w:t>fournir</w:t>
      </w:r>
      <w:r w:rsidRPr="003F1175">
        <w:rPr>
          <w:rFonts w:ascii="Arial" w:hAnsi="Arial" w:cs="Arial"/>
          <w:spacing w:val="-6"/>
        </w:rPr>
        <w:t xml:space="preserve"> </w:t>
      </w:r>
      <w:r w:rsidRPr="003F1175">
        <w:rPr>
          <w:rFonts w:ascii="Arial" w:hAnsi="Arial" w:cs="Arial"/>
        </w:rPr>
        <w:t>sur</w:t>
      </w:r>
      <w:r w:rsidRPr="003F1175">
        <w:rPr>
          <w:rFonts w:ascii="Arial" w:hAnsi="Arial" w:cs="Arial"/>
          <w:spacing w:val="-6"/>
        </w:rPr>
        <w:t xml:space="preserve"> </w:t>
      </w:r>
      <w:r w:rsidRPr="003F1175">
        <w:rPr>
          <w:rFonts w:ascii="Arial" w:hAnsi="Arial" w:cs="Arial"/>
        </w:rPr>
        <w:t>demande</w:t>
      </w:r>
      <w:r w:rsidRPr="003F1175">
        <w:rPr>
          <w:rFonts w:ascii="Arial" w:hAnsi="Arial" w:cs="Arial"/>
          <w:spacing w:val="-4"/>
        </w:rPr>
        <w:t xml:space="preserve"> </w:t>
      </w:r>
      <w:r w:rsidRPr="003F1175">
        <w:rPr>
          <w:rFonts w:ascii="Arial" w:hAnsi="Arial" w:cs="Arial"/>
        </w:rPr>
        <w:t>une</w:t>
      </w:r>
      <w:r w:rsidRPr="003F1175">
        <w:rPr>
          <w:rFonts w:ascii="Arial" w:hAnsi="Arial" w:cs="Arial"/>
          <w:spacing w:val="-4"/>
        </w:rPr>
        <w:t xml:space="preserve"> </w:t>
      </w:r>
      <w:r w:rsidRPr="003F1175">
        <w:rPr>
          <w:rFonts w:ascii="Arial" w:hAnsi="Arial" w:cs="Arial"/>
        </w:rPr>
        <w:t>déclaration</w:t>
      </w:r>
      <w:r w:rsidRPr="003F1175">
        <w:rPr>
          <w:rFonts w:ascii="Arial" w:hAnsi="Arial" w:cs="Arial"/>
          <w:spacing w:val="-4"/>
        </w:rPr>
        <w:t xml:space="preserve"> </w:t>
      </w:r>
      <w:r w:rsidRPr="003F1175">
        <w:rPr>
          <w:rFonts w:ascii="Arial" w:hAnsi="Arial" w:cs="Arial"/>
        </w:rPr>
        <w:t>de</w:t>
      </w:r>
      <w:r w:rsidRPr="003F1175">
        <w:rPr>
          <w:rFonts w:ascii="Arial" w:hAnsi="Arial" w:cs="Arial"/>
          <w:spacing w:val="-7"/>
        </w:rPr>
        <w:t xml:space="preserve"> </w:t>
      </w:r>
      <w:proofErr w:type="gramStart"/>
      <w:r w:rsidRPr="003F1175">
        <w:rPr>
          <w:rFonts w:ascii="Arial" w:hAnsi="Arial" w:cs="Arial"/>
        </w:rPr>
        <w:t xml:space="preserve">performance </w:t>
      </w:r>
      <w:r w:rsidRPr="003F1175">
        <w:rPr>
          <w:rFonts w:ascii="Arial" w:hAnsi="Arial" w:cs="Arial"/>
          <w:spacing w:val="-64"/>
        </w:rPr>
        <w:t xml:space="preserve"> </w:t>
      </w:r>
      <w:r w:rsidRPr="003F1175">
        <w:rPr>
          <w:rFonts w:ascii="Arial" w:hAnsi="Arial" w:cs="Arial"/>
        </w:rPr>
        <w:t>ainsi</w:t>
      </w:r>
      <w:proofErr w:type="gramEnd"/>
      <w:r w:rsidRPr="003F1175">
        <w:rPr>
          <w:rFonts w:ascii="Arial" w:hAnsi="Arial" w:cs="Arial"/>
        </w:rPr>
        <w:t xml:space="preserve"> qu’un certificat de conformité à la norme </w:t>
      </w:r>
      <w:r w:rsidRPr="00223D1F">
        <w:rPr>
          <w:rFonts w:ascii="Arial" w:hAnsi="Arial" w:cs="Arial"/>
          <w:b/>
          <w:bCs/>
        </w:rPr>
        <w:t>EN14904</w:t>
      </w:r>
      <w:r w:rsidRPr="003F1175">
        <w:rPr>
          <w:rFonts w:ascii="Arial" w:hAnsi="Arial" w:cs="Arial"/>
        </w:rPr>
        <w:t>, réalisé par un laboratoire</w:t>
      </w:r>
      <w:r w:rsidRPr="003F1175">
        <w:rPr>
          <w:rFonts w:ascii="Arial" w:hAnsi="Arial" w:cs="Arial"/>
          <w:spacing w:val="1"/>
        </w:rPr>
        <w:t xml:space="preserve"> </w:t>
      </w:r>
      <w:r w:rsidRPr="003F1175">
        <w:rPr>
          <w:rFonts w:ascii="Arial" w:hAnsi="Arial" w:cs="Arial"/>
        </w:rPr>
        <w:t>indépendant.</w:t>
      </w:r>
    </w:p>
    <w:p w14:paraId="2883EC7D" w14:textId="77777777" w:rsidR="003F1175" w:rsidRPr="003F1175" w:rsidRDefault="003F1175" w:rsidP="003F1175">
      <w:pPr>
        <w:pStyle w:val="Corpsdetexte"/>
        <w:rPr>
          <w:rFonts w:ascii="Arial" w:hAnsi="Arial" w:cs="Arial"/>
        </w:rPr>
      </w:pPr>
    </w:p>
    <w:p w14:paraId="68142FD4" w14:textId="77777777" w:rsidR="003F1175" w:rsidRPr="003F1175" w:rsidRDefault="003F1175" w:rsidP="003F1175">
      <w:pPr>
        <w:pStyle w:val="Corpsdetexte"/>
        <w:spacing w:before="1"/>
        <w:jc w:val="both"/>
        <w:rPr>
          <w:rFonts w:ascii="Arial" w:hAnsi="Arial" w:cs="Arial"/>
        </w:rPr>
      </w:pPr>
      <w:r w:rsidRPr="003F1175">
        <w:rPr>
          <w:rFonts w:ascii="Arial" w:hAnsi="Arial" w:cs="Arial"/>
        </w:rPr>
        <w:t>Ce</w:t>
      </w:r>
      <w:r w:rsidRPr="003F1175">
        <w:rPr>
          <w:rFonts w:ascii="Arial" w:hAnsi="Arial" w:cs="Arial"/>
          <w:spacing w:val="-1"/>
        </w:rPr>
        <w:t xml:space="preserve"> </w:t>
      </w:r>
      <w:r w:rsidRPr="003F1175">
        <w:rPr>
          <w:rFonts w:ascii="Arial" w:hAnsi="Arial" w:cs="Arial"/>
        </w:rPr>
        <w:t>produit</w:t>
      </w:r>
      <w:r w:rsidRPr="003F1175">
        <w:rPr>
          <w:rFonts w:ascii="Arial" w:hAnsi="Arial" w:cs="Arial"/>
          <w:spacing w:val="-1"/>
        </w:rPr>
        <w:t xml:space="preserve"> </w:t>
      </w:r>
      <w:r w:rsidRPr="003F1175">
        <w:rPr>
          <w:rFonts w:ascii="Arial" w:hAnsi="Arial" w:cs="Arial"/>
        </w:rPr>
        <w:t>est</w:t>
      </w:r>
      <w:r w:rsidRPr="003F1175">
        <w:rPr>
          <w:rFonts w:ascii="Arial" w:hAnsi="Arial" w:cs="Arial"/>
          <w:spacing w:val="-3"/>
        </w:rPr>
        <w:t xml:space="preserve"> </w:t>
      </w:r>
      <w:r w:rsidRPr="003F1175">
        <w:rPr>
          <w:rFonts w:ascii="Arial" w:hAnsi="Arial" w:cs="Arial"/>
        </w:rPr>
        <w:t>certifié</w:t>
      </w:r>
      <w:r w:rsidRPr="003F1175">
        <w:rPr>
          <w:rFonts w:ascii="Arial" w:hAnsi="Arial" w:cs="Arial"/>
          <w:spacing w:val="-2"/>
        </w:rPr>
        <w:t xml:space="preserve"> </w:t>
      </w:r>
      <w:r w:rsidRPr="003F1175">
        <w:rPr>
          <w:rFonts w:ascii="Arial" w:hAnsi="Arial" w:cs="Arial"/>
        </w:rPr>
        <w:t>par</w:t>
      </w:r>
      <w:r w:rsidRPr="003F1175">
        <w:rPr>
          <w:rFonts w:ascii="Arial" w:hAnsi="Arial" w:cs="Arial"/>
          <w:spacing w:val="-1"/>
        </w:rPr>
        <w:t xml:space="preserve"> </w:t>
      </w:r>
      <w:r w:rsidRPr="003F1175">
        <w:rPr>
          <w:rFonts w:ascii="Arial" w:hAnsi="Arial" w:cs="Arial"/>
        </w:rPr>
        <w:t>les</w:t>
      </w:r>
      <w:r w:rsidRPr="003F1175">
        <w:rPr>
          <w:rFonts w:ascii="Arial" w:hAnsi="Arial" w:cs="Arial"/>
          <w:spacing w:val="-1"/>
        </w:rPr>
        <w:t xml:space="preserve"> </w:t>
      </w:r>
      <w:r w:rsidRPr="003F1175">
        <w:rPr>
          <w:rFonts w:ascii="Arial" w:hAnsi="Arial" w:cs="Arial"/>
        </w:rPr>
        <w:t>fédérations FFV, FFBAD,</w:t>
      </w:r>
      <w:r w:rsidRPr="003F1175">
        <w:rPr>
          <w:rFonts w:ascii="Arial" w:hAnsi="Arial" w:cs="Arial"/>
          <w:spacing w:val="-1"/>
        </w:rPr>
        <w:t xml:space="preserve"> </w:t>
      </w:r>
      <w:r w:rsidRPr="003F1175">
        <w:rPr>
          <w:rFonts w:ascii="Arial" w:hAnsi="Arial" w:cs="Arial"/>
        </w:rPr>
        <w:t>FFH</w:t>
      </w:r>
      <w:r w:rsidRPr="003F1175">
        <w:rPr>
          <w:rFonts w:ascii="Arial" w:hAnsi="Arial" w:cs="Arial"/>
          <w:spacing w:val="-3"/>
        </w:rPr>
        <w:t xml:space="preserve"> </w:t>
      </w:r>
      <w:r w:rsidRPr="003F1175">
        <w:rPr>
          <w:rFonts w:ascii="Arial" w:hAnsi="Arial" w:cs="Arial"/>
        </w:rPr>
        <w:t>et</w:t>
      </w:r>
      <w:r w:rsidRPr="003F1175">
        <w:rPr>
          <w:rFonts w:ascii="Arial" w:hAnsi="Arial" w:cs="Arial"/>
          <w:spacing w:val="-1"/>
        </w:rPr>
        <w:t xml:space="preserve"> </w:t>
      </w:r>
      <w:r w:rsidRPr="003F1175">
        <w:rPr>
          <w:rFonts w:ascii="Arial" w:hAnsi="Arial" w:cs="Arial"/>
        </w:rPr>
        <w:t>FFHandi.</w:t>
      </w:r>
    </w:p>
    <w:p w14:paraId="697BCF99" w14:textId="77777777" w:rsidR="003F1175" w:rsidRPr="003F1175" w:rsidRDefault="003F1175" w:rsidP="003F1175">
      <w:pPr>
        <w:rPr>
          <w:rFonts w:ascii="Arial" w:hAnsi="Arial" w:cs="Arial"/>
        </w:rPr>
      </w:pPr>
    </w:p>
    <w:p w14:paraId="4DD81CE3" w14:textId="77777777" w:rsidR="003F1175" w:rsidRPr="003F1175" w:rsidRDefault="003F1175" w:rsidP="003F1175">
      <w:pPr>
        <w:rPr>
          <w:rFonts w:ascii="Arial" w:hAnsi="Arial" w:cs="Arial"/>
        </w:rPr>
      </w:pPr>
    </w:p>
    <w:p w14:paraId="76D9176A" w14:textId="77777777" w:rsidR="003F1175" w:rsidRPr="00852025" w:rsidRDefault="003F1175" w:rsidP="003F1175">
      <w:pPr>
        <w:tabs>
          <w:tab w:val="left" w:pos="558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733A845F" w14:textId="5CD37FF1" w:rsidR="00A95A5F" w:rsidRPr="00E4660E" w:rsidRDefault="00A95A5F" w:rsidP="00A95A5F">
      <w:pPr>
        <w:tabs>
          <w:tab w:val="left" w:pos="558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sectPr w:rsidR="00A95A5F" w:rsidRPr="00E4660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3FAF7" w14:textId="77777777" w:rsidR="00C25AD4" w:rsidRDefault="00C25AD4">
      <w:r>
        <w:separator/>
      </w:r>
    </w:p>
  </w:endnote>
  <w:endnote w:type="continuationSeparator" w:id="0">
    <w:p w14:paraId="55C5E967" w14:textId="77777777" w:rsidR="00C25AD4" w:rsidRDefault="00C25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1C9FE" w14:textId="77777777" w:rsidR="008F7C9A" w:rsidRPr="005E2D20" w:rsidRDefault="008F7C9A" w:rsidP="0000648D">
    <w:pPr>
      <w:pStyle w:val="Pieddepage"/>
      <w:pBdr>
        <w:top w:val="single" w:sz="12" w:space="2" w:color="auto"/>
      </w:pBdr>
      <w:rPr>
        <w:rFonts w:ascii="Arial" w:hAnsi="Arial" w:cs="Arial"/>
        <w:b/>
        <w:bCs/>
        <w:color w:val="001740"/>
        <w:sz w:val="20"/>
        <w:szCs w:val="20"/>
      </w:rPr>
    </w:pPr>
    <w:r>
      <w:rPr>
        <w:rFonts w:ascii="Arial" w:hAnsi="Arial" w:cs="Arial"/>
        <w:b/>
        <w:bCs/>
        <w:color w:val="001740"/>
        <w:sz w:val="20"/>
        <w:szCs w:val="20"/>
      </w:rPr>
      <w:t>Modèle de descriptif</w:t>
    </w:r>
    <w:r>
      <w:rPr>
        <w:rFonts w:ascii="Arial" w:hAnsi="Arial" w:cs="Arial"/>
        <w:b/>
        <w:bCs/>
        <w:color w:val="001740"/>
        <w:sz w:val="20"/>
        <w:szCs w:val="20"/>
      </w:rPr>
      <w:tab/>
    </w:r>
    <w:r>
      <w:rPr>
        <w:rFonts w:ascii="Arial" w:hAnsi="Arial" w:cs="Arial"/>
        <w:b/>
        <w:bCs/>
        <w:color w:val="001740"/>
        <w:sz w:val="20"/>
        <w:szCs w:val="20"/>
      </w:rPr>
      <w:tab/>
      <w:t>gerflor.fr</w:t>
    </w:r>
  </w:p>
  <w:p w14:paraId="7CCF231C" w14:textId="77777777" w:rsidR="008F7C9A" w:rsidRDefault="008F7C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E62C4" w14:textId="77777777" w:rsidR="00C25AD4" w:rsidRDefault="00C25AD4">
      <w:r>
        <w:separator/>
      </w:r>
    </w:p>
  </w:footnote>
  <w:footnote w:type="continuationSeparator" w:id="0">
    <w:p w14:paraId="14894510" w14:textId="77777777" w:rsidR="00C25AD4" w:rsidRDefault="00C25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C235E" w14:textId="77777777" w:rsidR="008F7C9A" w:rsidRDefault="008F7C9A">
    <w:pPr>
      <w:pStyle w:val="En-tte"/>
    </w:pPr>
  </w:p>
  <w:p w14:paraId="0BF5863F" w14:textId="77777777" w:rsidR="008F7C9A" w:rsidRDefault="008F7C9A">
    <w:pPr>
      <w:pStyle w:val="En-tte"/>
    </w:pPr>
  </w:p>
  <w:p w14:paraId="5C62D039" w14:textId="3DCE5810" w:rsidR="009E6EAC" w:rsidRPr="008547EC" w:rsidRDefault="00E20926" w:rsidP="009E6EAC">
    <w:pPr>
      <w:pStyle w:val="En-tte"/>
    </w:pPr>
    <w:r>
      <w:rPr>
        <w:noProof/>
      </w:rPr>
      <w:drawing>
        <wp:inline distT="0" distB="0" distL="0" distR="0" wp14:anchorId="521790F3" wp14:editId="6D209444">
          <wp:extent cx="1257300" cy="46545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65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F7C9A" w:rsidRPr="007F49C9">
      <w:rPr>
        <w:rFonts w:ascii="Arial" w:hAnsi="Arial" w:cs="Arial"/>
        <w:b/>
        <w:bCs/>
        <w:color w:val="001740"/>
        <w:sz w:val="32"/>
        <w:szCs w:val="32"/>
      </w:rPr>
      <w:t xml:space="preserve"> </w:t>
    </w:r>
    <w:r w:rsidR="00DD68BF">
      <w:rPr>
        <w:rFonts w:ascii="Arial" w:hAnsi="Arial" w:cs="Arial"/>
        <w:b/>
        <w:bCs/>
        <w:color w:val="001740"/>
        <w:sz w:val="32"/>
        <w:szCs w:val="32"/>
      </w:rPr>
      <w:t xml:space="preserve">               </w:t>
    </w:r>
    <w:r w:rsidR="002204BA">
      <w:rPr>
        <w:rFonts w:ascii="Arial" w:hAnsi="Arial" w:cs="Arial"/>
        <w:b/>
        <w:bCs/>
        <w:color w:val="001740"/>
        <w:sz w:val="32"/>
        <w:szCs w:val="32"/>
      </w:rPr>
      <w:t xml:space="preserve">                             </w:t>
    </w:r>
    <w:r w:rsidR="00DD68BF">
      <w:rPr>
        <w:rFonts w:ascii="Arial" w:hAnsi="Arial" w:cs="Arial"/>
        <w:b/>
        <w:bCs/>
        <w:color w:val="001740"/>
        <w:sz w:val="32"/>
        <w:szCs w:val="32"/>
      </w:rPr>
      <w:t xml:space="preserve"> </w:t>
    </w:r>
    <w:r w:rsidR="009E6EAC">
      <w:rPr>
        <w:rFonts w:ascii="Arial" w:hAnsi="Arial" w:cs="Arial"/>
        <w:color w:val="001740"/>
        <w:sz w:val="32"/>
        <w:szCs w:val="32"/>
      </w:rPr>
      <w:t>SUBFLEX LINODUR</w:t>
    </w:r>
  </w:p>
  <w:p w14:paraId="5F8DB04C" w14:textId="77777777" w:rsidR="008F7C9A" w:rsidRDefault="00E20926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E4D451" wp14:editId="06B1D237">
              <wp:simplePos x="0" y="0"/>
              <wp:positionH relativeFrom="column">
                <wp:posOffset>1485900</wp:posOffset>
              </wp:positionH>
              <wp:positionV relativeFrom="paragraph">
                <wp:posOffset>46990</wp:posOffset>
              </wp:positionV>
              <wp:extent cx="4343400" cy="0"/>
              <wp:effectExtent l="13970" t="13970" r="14605" b="14605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34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174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5E49C8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3.7pt" to="459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" strokecolor="#001740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45011"/>
    <w:multiLevelType w:val="hybridMultilevel"/>
    <w:tmpl w:val="C41A9F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FE5D67"/>
    <w:multiLevelType w:val="hybridMultilevel"/>
    <w:tmpl w:val="16A4E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538048">
    <w:abstractNumId w:val="0"/>
  </w:num>
  <w:num w:numId="2" w16cid:durableId="1663506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001840,#00174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91"/>
    <w:rsid w:val="0000648D"/>
    <w:rsid w:val="000316B5"/>
    <w:rsid w:val="00073F32"/>
    <w:rsid w:val="00091E83"/>
    <w:rsid w:val="000B2197"/>
    <w:rsid w:val="000B247D"/>
    <w:rsid w:val="000B317C"/>
    <w:rsid w:val="000C02B5"/>
    <w:rsid w:val="000E7D92"/>
    <w:rsid w:val="00132651"/>
    <w:rsid w:val="00140999"/>
    <w:rsid w:val="001A1CBE"/>
    <w:rsid w:val="001B6057"/>
    <w:rsid w:val="001F2F73"/>
    <w:rsid w:val="002204BA"/>
    <w:rsid w:val="00223D1F"/>
    <w:rsid w:val="002262B8"/>
    <w:rsid w:val="00227BD3"/>
    <w:rsid w:val="002344E2"/>
    <w:rsid w:val="00277035"/>
    <w:rsid w:val="002A7AA7"/>
    <w:rsid w:val="002B70E1"/>
    <w:rsid w:val="002E2080"/>
    <w:rsid w:val="002E5ABD"/>
    <w:rsid w:val="00305B47"/>
    <w:rsid w:val="0036713B"/>
    <w:rsid w:val="0038285A"/>
    <w:rsid w:val="00391DCD"/>
    <w:rsid w:val="00394053"/>
    <w:rsid w:val="003F1175"/>
    <w:rsid w:val="00402954"/>
    <w:rsid w:val="004209B4"/>
    <w:rsid w:val="004276C0"/>
    <w:rsid w:val="00443832"/>
    <w:rsid w:val="00460650"/>
    <w:rsid w:val="004842E9"/>
    <w:rsid w:val="004C1393"/>
    <w:rsid w:val="004E7016"/>
    <w:rsid w:val="00537C3B"/>
    <w:rsid w:val="00564DE5"/>
    <w:rsid w:val="00572B06"/>
    <w:rsid w:val="00594567"/>
    <w:rsid w:val="005E210C"/>
    <w:rsid w:val="005E2D20"/>
    <w:rsid w:val="00607F50"/>
    <w:rsid w:val="00654DA8"/>
    <w:rsid w:val="00674FB6"/>
    <w:rsid w:val="006806D6"/>
    <w:rsid w:val="0074298A"/>
    <w:rsid w:val="0075242F"/>
    <w:rsid w:val="007776FC"/>
    <w:rsid w:val="00780EBA"/>
    <w:rsid w:val="0078340E"/>
    <w:rsid w:val="0079167D"/>
    <w:rsid w:val="007B76FC"/>
    <w:rsid w:val="007F49C9"/>
    <w:rsid w:val="00832864"/>
    <w:rsid w:val="008473BD"/>
    <w:rsid w:val="00850CDD"/>
    <w:rsid w:val="008547EC"/>
    <w:rsid w:val="008B6AC5"/>
    <w:rsid w:val="008C187F"/>
    <w:rsid w:val="008F4A22"/>
    <w:rsid w:val="008F7C9A"/>
    <w:rsid w:val="0094383F"/>
    <w:rsid w:val="00957732"/>
    <w:rsid w:val="009A09F9"/>
    <w:rsid w:val="009D016F"/>
    <w:rsid w:val="009E697B"/>
    <w:rsid w:val="009E6EAC"/>
    <w:rsid w:val="00A14BBC"/>
    <w:rsid w:val="00A15E3F"/>
    <w:rsid w:val="00A21B1E"/>
    <w:rsid w:val="00A43D63"/>
    <w:rsid w:val="00A64157"/>
    <w:rsid w:val="00A66330"/>
    <w:rsid w:val="00A736E4"/>
    <w:rsid w:val="00A804DC"/>
    <w:rsid w:val="00A95A5F"/>
    <w:rsid w:val="00AC36FD"/>
    <w:rsid w:val="00AF7D64"/>
    <w:rsid w:val="00B17599"/>
    <w:rsid w:val="00B649BB"/>
    <w:rsid w:val="00B9274F"/>
    <w:rsid w:val="00BD1D34"/>
    <w:rsid w:val="00BE5FA1"/>
    <w:rsid w:val="00C00491"/>
    <w:rsid w:val="00C23D82"/>
    <w:rsid w:val="00C25AD4"/>
    <w:rsid w:val="00C55E60"/>
    <w:rsid w:val="00C830BE"/>
    <w:rsid w:val="00C9079A"/>
    <w:rsid w:val="00CD7332"/>
    <w:rsid w:val="00CD77DC"/>
    <w:rsid w:val="00D0217D"/>
    <w:rsid w:val="00D33C34"/>
    <w:rsid w:val="00D62011"/>
    <w:rsid w:val="00D67FFE"/>
    <w:rsid w:val="00DB5197"/>
    <w:rsid w:val="00DC53CF"/>
    <w:rsid w:val="00DD23FA"/>
    <w:rsid w:val="00DD42CA"/>
    <w:rsid w:val="00DD68BF"/>
    <w:rsid w:val="00E20926"/>
    <w:rsid w:val="00E255FE"/>
    <w:rsid w:val="00E270C7"/>
    <w:rsid w:val="00E574BB"/>
    <w:rsid w:val="00E66542"/>
    <w:rsid w:val="00E83046"/>
    <w:rsid w:val="00E8732D"/>
    <w:rsid w:val="00F22532"/>
    <w:rsid w:val="00F743DA"/>
    <w:rsid w:val="00F920AE"/>
    <w:rsid w:val="00FB1CA2"/>
    <w:rsid w:val="00FD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1840,#001740"/>
    </o:shapedefaults>
    <o:shapelayout v:ext="edit">
      <o:idmap v:ext="edit" data="2"/>
    </o:shapelayout>
  </w:shapeDefaults>
  <w:decimalSymbol w:val=","/>
  <w:listSeparator w:val=";"/>
  <w14:docId w14:val="1D3E8647"/>
  <w15:chartTrackingRefBased/>
  <w15:docId w15:val="{1C30E51B-3421-48A3-B023-F81075A6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rsid w:val="006806D6"/>
    <w:pPr>
      <w:keepNext/>
      <w:outlineLvl w:val="0"/>
    </w:pPr>
    <w:rPr>
      <w:rFonts w:ascii="Verdana" w:hAnsi="Verdana"/>
      <w:b/>
      <w:bCs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5E2D2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5E2D20"/>
    <w:pPr>
      <w:tabs>
        <w:tab w:val="center" w:pos="4536"/>
        <w:tab w:val="right" w:pos="9072"/>
      </w:tabs>
    </w:pPr>
  </w:style>
  <w:style w:type="character" w:styleId="lev">
    <w:name w:val="Strong"/>
    <w:qFormat/>
    <w:rsid w:val="00E20926"/>
    <w:rPr>
      <w:b/>
      <w:bCs/>
    </w:rPr>
  </w:style>
  <w:style w:type="paragraph" w:styleId="Paragraphedeliste">
    <w:name w:val="List Paragraph"/>
    <w:basedOn w:val="Normal"/>
    <w:uiPriority w:val="34"/>
    <w:qFormat/>
    <w:rsid w:val="00305B47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1"/>
    <w:qFormat/>
    <w:rsid w:val="00A21B1E"/>
    <w:pPr>
      <w:widowControl w:val="0"/>
      <w:autoSpaceDE w:val="0"/>
      <w:autoSpaceDN w:val="0"/>
    </w:pPr>
    <w:rPr>
      <w:rFonts w:ascii="Arial MT" w:eastAsia="Arial MT" w:hAnsi="Arial MT" w:cs="Arial MT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A21B1E"/>
    <w:rPr>
      <w:rFonts w:ascii="Arial MT" w:eastAsia="Arial MT" w:hAnsi="Arial MT" w:cs="Arial M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ESOUS\Bureau\Masque%20MD\Masque%20MD%20fr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4C91E-1CFA-4523-B23E-6ADA6022B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Masque MD fr</Template>
  <TotalTime>3</TotalTime>
  <Pages>1</Pages>
  <Words>351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Gerflor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gerflor</dc:creator>
  <cp:keywords/>
  <dc:description/>
  <cp:lastModifiedBy>GAILLARD Martin</cp:lastModifiedBy>
  <cp:revision>2</cp:revision>
  <cp:lastPrinted>2010-09-21T06:56:00Z</cp:lastPrinted>
  <dcterms:created xsi:type="dcterms:W3CDTF">2026-02-23T13:49:00Z</dcterms:created>
  <dcterms:modified xsi:type="dcterms:W3CDTF">2026-02-23T13:49:00Z</dcterms:modified>
</cp:coreProperties>
</file>